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212C5FFE" w:rsidR="00444841" w:rsidRDefault="00444841">
      <w:r>
        <w:t xml:space="preserve">Anexo </w:t>
      </w:r>
      <w:r w:rsidR="003612CE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4016"/>
        <w:gridCol w:w="2508"/>
        <w:gridCol w:w="2527"/>
      </w:tblGrid>
      <w:tr w:rsidR="009955D5" w14:paraId="5C00C1A4" w14:textId="77777777" w:rsidTr="009955D5">
        <w:trPr>
          <w:trHeight w:val="8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24F0FF" w14:textId="77777777" w:rsidR="009955D5" w:rsidRDefault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N°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3E4FEA" w14:textId="77777777" w:rsidR="009955D5" w:rsidRDefault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PRODUTO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8C7F6D" w14:textId="775FDF8A" w:rsidR="009955D5" w:rsidRPr="009955D5" w:rsidRDefault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9955D5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PAGAMENTO/ FORMA MEDIÇÃO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015402" w14:textId="1658BEB3" w:rsidR="009955D5" w:rsidRDefault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Valor (R$)</w:t>
            </w:r>
          </w:p>
        </w:tc>
      </w:tr>
      <w:tr w:rsidR="009955D5" w14:paraId="61D2D86D" w14:textId="77777777" w:rsidTr="009955D5">
        <w:trPr>
          <w:trHeight w:val="47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A684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bookmarkStart w:id="0" w:name="_GoBack" w:colFirst="2" w:colLast="2"/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EC0B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pt-BR"/>
              </w:rPr>
              <w:t>Plano de trabalho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56E3" w14:textId="05B2DE26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0%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303BB" w14:textId="603ED13C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955D5" w14:paraId="0CCA2451" w14:textId="77777777" w:rsidTr="009955D5">
        <w:trPr>
          <w:trHeight w:val="4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BB7A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32CD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  <w:lang w:eastAsia="pt-BR"/>
              </w:rPr>
            </w:pPr>
            <w:r>
              <w:rPr>
                <w:rFonts w:ascii="Calibri" w:hAnsi="Calibri" w:cs="Calibri"/>
                <w:sz w:val="22"/>
                <w:szCs w:val="22"/>
                <w:lang w:val="pt-PT"/>
              </w:rPr>
              <w:t>Relatório de Mobilização e sensibilização dos proprietários e justos possuidores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C980" w14:textId="5265D9FF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  <w:lang w:eastAsia="pt-BR"/>
              </w:rPr>
            </w:pPr>
            <w:r>
              <w:rPr>
                <w:rFonts w:cs="Calibri"/>
              </w:rPr>
              <w:t>20%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A040D" w14:textId="64EDE381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955D5" w14:paraId="49495C14" w14:textId="77777777" w:rsidTr="009955D5">
        <w:trPr>
          <w:trHeight w:val="4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F6BE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9D28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pt-PT"/>
              </w:rPr>
              <w:t>Relatórios trimestrais de Cadastramento de imóveis rurais no Cadastro Estadual Florestal de Imóveis Rurais – CEFIR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CA27" w14:textId="5A833323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Hectares cadastrados (área)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AF298" w14:textId="153DBD9B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955D5" w14:paraId="53F62BDD" w14:textId="77777777" w:rsidTr="009955D5">
        <w:trPr>
          <w:trHeight w:val="4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4136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87535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pt-PT"/>
              </w:rPr>
              <w:t>Relatórios trimestrais de avaliação de dados previamente cadastrados no Cadastro Estadual Florestal de Imóveis Rurais – CEFIR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6296" w14:textId="1F474A36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Cadastros avaliados (unidade)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CD78E" w14:textId="7C9FB2CE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955D5" w14:paraId="2B802F98" w14:textId="77777777" w:rsidTr="009955D5">
        <w:trPr>
          <w:trHeight w:val="163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AFDA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0D9F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sz w:val="22"/>
                <w:szCs w:val="22"/>
                <w:lang w:val="pt-PT"/>
              </w:rPr>
            </w:pPr>
            <w:r>
              <w:rPr>
                <w:rFonts w:ascii="Calibri" w:hAnsi="Calibri" w:cs="Calibri"/>
                <w:sz w:val="22"/>
                <w:szCs w:val="22"/>
                <w:lang w:val="pt-PT"/>
              </w:rPr>
              <w:t>Relatórios trimestrais relativos ao complemento dos cadastros inseridos previamente no CEFIR no âmbito dos contratos do Projeto CAR/BNDES – Fundo Amazônia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54EA" w14:textId="70C267B6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Cadastros complementados</w:t>
            </w:r>
            <w:r>
              <w:br/>
            </w:r>
            <w:r>
              <w:rPr>
                <w:rFonts w:cs="Calibri"/>
              </w:rPr>
              <w:t>(unidade)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19224" w14:textId="159B7E54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955D5" w14:paraId="4D72B637" w14:textId="77777777" w:rsidTr="009955D5">
        <w:trPr>
          <w:trHeight w:val="4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E9CC1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9459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rPr>
                <w:rFonts w:ascii="Calibri" w:hAnsi="Calibri" w:cs="Calibri"/>
                <w:sz w:val="22"/>
                <w:szCs w:val="22"/>
                <w:lang w:val="pt-PT"/>
              </w:rPr>
            </w:pPr>
            <w:r>
              <w:rPr>
                <w:rFonts w:ascii="Calibri" w:hAnsi="Calibri" w:cs="Calibri"/>
                <w:sz w:val="22"/>
                <w:szCs w:val="22"/>
                <w:lang w:val="pt-PT"/>
              </w:rPr>
              <w:t>Relatório socioambiental dos imóveis rurais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D41A" w14:textId="5ACC6889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0C502" w14:textId="094A08CD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tr w:rsidR="009955D5" w14:paraId="4DBBADED" w14:textId="77777777" w:rsidTr="009955D5">
        <w:trPr>
          <w:trHeight w:val="4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49AD" w14:textId="77777777" w:rsidR="009955D5" w:rsidRDefault="009955D5" w:rsidP="009955D5">
            <w:pPr>
              <w:pStyle w:val="WW-Padro"/>
              <w:snapToGrid w:val="0"/>
              <w:spacing w:before="100" w:beforeAutospacing="1" w:after="100" w:afterAutospacing="1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48B0" w14:textId="77777777" w:rsidR="009955D5" w:rsidRDefault="009955D5" w:rsidP="009955D5">
            <w:pPr>
              <w:spacing w:before="100" w:beforeAutospacing="1" w:after="100" w:afterAutospacing="1" w:line="240" w:lineRule="auto"/>
              <w:rPr>
                <w:rFonts w:cs="Calibri"/>
                <w:lang w:val="pt-PT"/>
              </w:rPr>
            </w:pPr>
            <w:r>
              <w:rPr>
                <w:rFonts w:cs="Calibri"/>
                <w:lang w:val="pt-PT"/>
              </w:rPr>
              <w:t>Evento Solene de encerramento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75C8" w14:textId="36ED0BF7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5E6F" w14:textId="7840615C" w:rsidR="009955D5" w:rsidRDefault="009955D5" w:rsidP="009955D5">
            <w:pPr>
              <w:spacing w:before="100" w:beforeAutospacing="1" w:after="100" w:afterAutospacing="1" w:line="240" w:lineRule="auto"/>
              <w:jc w:val="center"/>
              <w:rPr>
                <w:rFonts w:cs="Calibri"/>
              </w:rPr>
            </w:pPr>
          </w:p>
        </w:tc>
      </w:tr>
      <w:bookmarkEnd w:id="0"/>
    </w:tbl>
    <w:p w14:paraId="4BEF0C02" w14:textId="77777777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2E024D"/>
    <w:rsid w:val="003612CE"/>
    <w:rsid w:val="0042212F"/>
    <w:rsid w:val="00444841"/>
    <w:rsid w:val="0048029A"/>
    <w:rsid w:val="005B52A6"/>
    <w:rsid w:val="006D641F"/>
    <w:rsid w:val="007846F7"/>
    <w:rsid w:val="0092179C"/>
    <w:rsid w:val="009955D5"/>
    <w:rsid w:val="009B6A8A"/>
    <w:rsid w:val="00A53610"/>
    <w:rsid w:val="00B06A6C"/>
    <w:rsid w:val="00B2645D"/>
    <w:rsid w:val="00B63B45"/>
    <w:rsid w:val="00B77AE6"/>
    <w:rsid w:val="00B82BBF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  <w:style w:type="paragraph" w:customStyle="1" w:styleId="WW-Padro">
    <w:name w:val="WW-Padrão"/>
    <w:rsid w:val="009B6A8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7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00B6-C568-43E3-AB49-DAB7AFEB13EA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45287782-96f6-4d46-b222-c6a35a3678db"/>
    <ds:schemaRef ds:uri="http://purl.org/dc/terms/"/>
    <ds:schemaRef ds:uri="12eb10c7-7c04-413d-98c5-00dad9ac1a9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222E6B-4286-4CE4-98BC-2EC5B4571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174</cp:revision>
  <dcterms:created xsi:type="dcterms:W3CDTF">2022-05-23T20:18:00Z</dcterms:created>
  <dcterms:modified xsi:type="dcterms:W3CDTF">2023-11-08T14:33:00Z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